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14" w:rsidRDefault="00A57714" w:rsidP="00A57714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57714" w:rsidRDefault="00A57714" w:rsidP="00A57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57714" w:rsidRDefault="00A57714" w:rsidP="00A577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A57714" w:rsidRDefault="00A57714" w:rsidP="00A5771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714" w:rsidRDefault="00A57714" w:rsidP="00A57714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57714" w:rsidRDefault="00A57714" w:rsidP="00A5771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714" w:rsidRDefault="00A57714" w:rsidP="00A5771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123/658</w:t>
      </w:r>
    </w:p>
    <w:p w:rsidR="00A57714" w:rsidRDefault="00A57714" w:rsidP="00A57714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57714" w:rsidRPr="00AA7D09" w:rsidRDefault="00A57714" w:rsidP="00A57714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379, 388, 389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A57714" w:rsidRPr="00AA7D09" w:rsidRDefault="00A57714" w:rsidP="00A57714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714" w:rsidRPr="00AA7D09" w:rsidRDefault="00A57714" w:rsidP="00A57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7714" w:rsidRPr="00AA7D09" w:rsidRDefault="00A57714" w:rsidP="00A57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A57714" w:rsidRPr="00AA7D09" w:rsidRDefault="00A57714" w:rsidP="00A577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7714" w:rsidRPr="00AA7D09" w:rsidRDefault="00A57714" w:rsidP="00A577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57714" w:rsidRPr="00AA7D09" w:rsidRDefault="00A57714" w:rsidP="00A57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714" w:rsidRPr="00CD4479" w:rsidRDefault="00A57714" w:rsidP="00A57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1.</w:t>
      </w:r>
      <w:r w:rsidRPr="00CD4479">
        <w:rPr>
          <w:rFonts w:ascii="Times New Roman" w:hAnsi="Times New Roman"/>
          <w:color w:val="000000"/>
          <w:sz w:val="28"/>
          <w:szCs w:val="28"/>
        </w:rPr>
        <w:tab/>
        <w:t>Определить график работы участковых комиссий избирательных участков №</w:t>
      </w:r>
      <w:proofErr w:type="gramStart"/>
      <w:r w:rsidRPr="00CD447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379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388, 389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D4479">
        <w:rPr>
          <w:rFonts w:ascii="Times New Roman" w:hAnsi="Times New Roman"/>
          <w:color w:val="000000"/>
          <w:sz w:val="28"/>
          <w:szCs w:val="28"/>
        </w:rPr>
        <w:t xml:space="preserve">для проведения досрочного голосования на выборах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 с  22 мая по 1 июня 2019 года  в будние дни – с 16-00 часов до 20-00 часов, в выходные дни  –    с 10-00 часов до 14-00 часов.       </w:t>
      </w:r>
    </w:p>
    <w:p w:rsidR="00A57714" w:rsidRDefault="00A57714" w:rsidP="00A57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479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сайте Администрации муниципального образования «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A57714" w:rsidRPr="0063701C" w:rsidRDefault="00A57714" w:rsidP="00A57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714" w:rsidRDefault="00A57714" w:rsidP="00A577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714" w:rsidRDefault="00A57714" w:rsidP="00A577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A57714" w:rsidRDefault="00A57714" w:rsidP="00A57714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714" w:rsidRDefault="00A57714" w:rsidP="00A5771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В.Ф. Старовойтов</w:t>
      </w:r>
    </w:p>
    <w:p w:rsidR="0001136D" w:rsidRDefault="0001136D"/>
    <w:sectPr w:rsidR="0001136D" w:rsidSect="003C39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968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5"/>
    <w:rsid w:val="0001136D"/>
    <w:rsid w:val="003C3926"/>
    <w:rsid w:val="00742B45"/>
    <w:rsid w:val="00A57714"/>
    <w:rsid w:val="00C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ACED"/>
  <w15:chartTrackingRefBased/>
  <w15:docId w15:val="{2D5CC1E5-250A-43D5-BF53-CFE9348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2019-03-27T06:48:00Z</dcterms:created>
  <dcterms:modified xsi:type="dcterms:W3CDTF">2019-03-27T06:48:00Z</dcterms:modified>
</cp:coreProperties>
</file>